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8"/>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新晃侗族自治县住房和城乡建设局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bookmarkStart w:id="0" w:name="_GoBack"/>
      <w:bookmarkEnd w:id="0"/>
      <w:r>
        <w:rPr>
          <w:rFonts w:hint="eastAsia" w:ascii="黑体" w:hAnsi="黑体" w:eastAsia="黑体" w:cs="黑体"/>
          <w:b w:val="0"/>
          <w:bCs/>
          <w:sz w:val="32"/>
          <w:szCs w:val="32"/>
        </w:rPr>
        <w:t>年度预算绩效情况的说明</w:t>
      </w:r>
    </w:p>
    <w:p w14:paraId="4480F13F">
      <w:pPr>
        <w:pStyle w:val="8"/>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p>
    <w:p w14:paraId="4B9CD697">
      <w:pPr>
        <w:pStyle w:val="8"/>
        <w:keepNext w:val="0"/>
        <w:keepLines w:val="0"/>
        <w:pageBreakBefore w:val="0"/>
        <w:widowControl w:val="0"/>
        <w:kinsoku/>
        <w:wordWrap/>
        <w:overflowPunct/>
        <w:topLinePunct w:val="0"/>
        <w:autoSpaceDE w:val="0"/>
        <w:autoSpaceDN w:val="0"/>
        <w:bidi w:val="0"/>
        <w:adjustRightInd w:val="0"/>
        <w:snapToGrid/>
        <w:spacing w:line="580" w:lineRule="exact"/>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（一）绩效管理工作开展情况</w:t>
      </w:r>
    </w:p>
    <w:p w14:paraId="39EB79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 w:hAnsi="仿宋" w:eastAsia="仿宋" w:cs="仿宋"/>
          <w:color w:val="333333"/>
          <w:kern w:val="0"/>
          <w:sz w:val="32"/>
          <w:szCs w:val="32"/>
          <w:lang w:val="en-US" w:eastAsia="zh-CN" w:bidi="ar-SA"/>
        </w:rPr>
      </w:pPr>
      <w:r>
        <w:rPr>
          <w:rFonts w:hint="eastAsia" w:ascii="仿宋" w:hAnsi="仿宋" w:eastAsia="仿宋" w:cs="仿宋"/>
          <w:color w:val="333333"/>
          <w:kern w:val="0"/>
          <w:sz w:val="32"/>
          <w:szCs w:val="32"/>
          <w:lang w:val="en-US" w:eastAsia="zh-CN" w:bidi="ar-SA"/>
        </w:rPr>
        <w:t>2024年住建局严格落实县财政局绩效管理工作的有关规定，进一步规范财政资金的管理，强化预算绩效管理、财政支出绩效理念，提升部门支出责任意识，提高财政资金使用效益和管理水平，促进住建事业的发展，较好地完成了县政府下达的各项工作任务。</w:t>
      </w:r>
    </w:p>
    <w:p w14:paraId="015717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部门</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整体支出绩效情况</w:t>
      </w:r>
    </w:p>
    <w:p w14:paraId="5FF00079">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根据《部门整体支出绩效评价指标》评分表，自评得分92分，整体支出绩效为“优秀”，社会公众满意率为95%。主要绩效如下：</w:t>
      </w:r>
    </w:p>
    <w:p w14:paraId="088EC7C1">
      <w:pPr>
        <w:spacing w:line="60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照县委“产业为本、基础先行、金融为器、规划引领、项目为王”为总体思路，以“领着学、带着干、逼着办”为主要抓手，盯紧全年工作目标，倒排工期，精锐出战，为新晃建设“一堡五高地”贡献住建力量。</w:t>
      </w:r>
    </w:p>
    <w:p w14:paraId="71277796">
      <w:pPr>
        <w:spacing w:line="60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1.全面实现年度三大根本目标——党建创优争先，安全事故为零，绩效第一方阵。持续夯实党建基础，</w:t>
      </w:r>
      <w:r>
        <w:rPr>
          <w:rFonts w:hint="eastAsia" w:ascii="仿宋" w:hAnsi="仿宋" w:eastAsia="仿宋" w:cs="仿宋"/>
          <w:sz w:val="32"/>
          <w:szCs w:val="32"/>
        </w:rPr>
        <w:t>深入开展党史学习教育，继续开展“我为群众办实事”活动。开展“三会一课”和党组理论中心组学习，重点落实民主集中制、民主生活会、谈心谈话等制度，抓好意识形态、队伍管理、阵地建设等重点工作。切实履行主体责任，加强党风廉政建设，大胆使用监督执纪“第一种”形态，营造风清气正廉洁氛围。</w:t>
      </w:r>
      <w:r>
        <w:rPr>
          <w:rFonts w:hint="eastAsia" w:ascii="仿宋" w:hAnsi="仿宋" w:eastAsia="仿宋" w:cs="仿宋"/>
          <w:b/>
          <w:bCs/>
          <w:sz w:val="32"/>
          <w:szCs w:val="32"/>
        </w:rPr>
        <w:t>持续强化行业监管，</w:t>
      </w:r>
      <w:r>
        <w:rPr>
          <w:rFonts w:hint="eastAsia" w:ascii="仿宋" w:hAnsi="仿宋" w:eastAsia="仿宋" w:cs="仿宋"/>
          <w:sz w:val="32"/>
          <w:szCs w:val="32"/>
        </w:rPr>
        <w:t>紧盯时间节点，完成农村住房安全保障工作。深化开展建设工程招投标等重点行业领域突出问题系统治理。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14:paraId="38CC00E3">
      <w:pPr>
        <w:pStyle w:val="1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2.全面完成污染防治攻坚战考核任务。</w:t>
      </w:r>
      <w:r>
        <w:rPr>
          <w:rFonts w:hint="eastAsia" w:ascii="仿宋" w:hAnsi="仿宋" w:eastAsia="仿宋" w:cs="仿宋"/>
          <w:sz w:val="32"/>
          <w:szCs w:val="32"/>
        </w:rPr>
        <w:t>建成运行中寨、波洲、林冲、扶罗、贡溪、凉伞集镇污水处理设施，全面启动乡镇污水治理一体化EPCO建设模式，城镇污水处理率达85%以上；全面运行农村垃圾收转运体系，启动农村垃圾收费制度，对农村生活垃圾治理的行政村比例达100%；建筑工地扬尘防控实现“6个100%”。</w:t>
      </w:r>
    </w:p>
    <w:p w14:paraId="2CE849CB">
      <w:pPr>
        <w:pStyle w:val="1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3.防范化解风险能力稳步增强。一是防范化解商品房领域风险。</w:t>
      </w:r>
      <w:r>
        <w:rPr>
          <w:rFonts w:hint="eastAsia" w:ascii="仿宋" w:hAnsi="仿宋" w:eastAsia="仿宋" w:cs="仿宋"/>
          <w:sz w:val="32"/>
          <w:szCs w:val="32"/>
        </w:rPr>
        <w:t>加大“亲商爱商护商”的营商环境打造力度，加大政府支持商品房营销政策力度，加大“交房即交证”改革推进力度，努力把我县商品房去化周期控制在18安全值以内；</w:t>
      </w:r>
      <w:r>
        <w:rPr>
          <w:rFonts w:hint="eastAsia" w:ascii="仿宋" w:hAnsi="仿宋" w:eastAsia="仿宋" w:cs="仿宋"/>
          <w:b/>
          <w:sz w:val="32"/>
          <w:szCs w:val="32"/>
        </w:rPr>
        <w:t>二是防范化解住建统计数据风险，</w:t>
      </w:r>
      <w:r>
        <w:rPr>
          <w:rFonts w:hint="eastAsia" w:ascii="仿宋" w:hAnsi="仿宋" w:eastAsia="仿宋" w:cs="仿宋"/>
          <w:sz w:val="32"/>
          <w:szCs w:val="32"/>
        </w:rPr>
        <w:t>确保本土建筑企业生存发展及建筑行业经济数据上报，着力推进邀标项目企业本土化及建筑市场劳务分包本土化工作。</w:t>
      </w:r>
      <w:r>
        <w:rPr>
          <w:rFonts w:hint="eastAsia" w:ascii="仿宋" w:hAnsi="仿宋" w:eastAsia="仿宋" w:cs="仿宋"/>
          <w:b/>
          <w:sz w:val="32"/>
          <w:szCs w:val="32"/>
        </w:rPr>
        <w:t>三是防范化解住建民生领域舆情风险，</w:t>
      </w:r>
      <w:r>
        <w:rPr>
          <w:rFonts w:hint="eastAsia" w:ascii="仿宋" w:hAnsi="仿宋" w:eastAsia="仿宋" w:cs="仿宋"/>
          <w:sz w:val="32"/>
          <w:szCs w:val="32"/>
        </w:rPr>
        <w:t>全面清理整顿公租房、廉租房住户情况，全面加大租赁住房补贴发放力度。加大农村住房安全保障力度。加大老旧小区改造的管理力度。推进城镇小区物业管理有较大改观。</w:t>
      </w:r>
    </w:p>
    <w:p w14:paraId="32EE1B0F">
      <w:pPr>
        <w:pStyle w:val="1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4.高质量完成年度投资任务和经济指标任务。</w:t>
      </w:r>
      <w:r>
        <w:rPr>
          <w:rFonts w:hint="eastAsia" w:ascii="仿宋" w:hAnsi="仿宋" w:eastAsia="仿宋" w:cs="仿宋"/>
          <w:sz w:val="32"/>
          <w:szCs w:val="32"/>
        </w:rPr>
        <w:t>完成重点项目14项（其中为民办实事项目2个），完成项目投资10亿元以上。努力争取干部职工为重点项目建设的辛苦付出有回报。高质量完成住建领域经济统计数据收集上报。</w:t>
      </w:r>
    </w:p>
    <w:p w14:paraId="1DB6A0E4">
      <w:pPr>
        <w:pStyle w:val="1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5.推进行业改革任务完成。</w:t>
      </w:r>
      <w:r>
        <w:rPr>
          <w:rFonts w:hint="eastAsia" w:ascii="仿宋" w:hAnsi="仿宋" w:eastAsia="仿宋" w:cs="仿宋"/>
          <w:sz w:val="32"/>
          <w:szCs w:val="32"/>
        </w:rPr>
        <w:t>包括工程项目审批制度2.0版改革、乡镇污水处理运行体制改革、农村生活垃圾收费及分类制度试点改革等。</w:t>
      </w:r>
    </w:p>
    <w:p w14:paraId="57F289B5">
      <w:pPr>
        <w:pStyle w:val="1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6.深入研究推进住建领域相关工作市场化和绿色建造试点。</w:t>
      </w:r>
      <w:r>
        <w:rPr>
          <w:rFonts w:hint="eastAsia" w:ascii="仿宋" w:hAnsi="仿宋" w:eastAsia="仿宋" w:cs="仿宋"/>
          <w:sz w:val="32"/>
          <w:szCs w:val="32"/>
        </w:rPr>
        <w:t>重点推进完成城乡污水一体化综合治理、农村生活垃圾综合治理、乡镇管道燃气建设三项重点工作的市场化工作，向市场要资金，问市场要效果。积极支持城管部门抓好建筑垃圾消纳场的建设和自然资源部门抓好砂石料厂建设。学习研究碳汇经济，摸清住建领域碳汇经济家底，主动探索工程策划、建设、运维全过程碳中和实施路径，积极利用相关政策，组织进行超低能耗绿色建筑建造试点，助力碳汇交易成为我县继生态补偿、土地增减挂钩之后的新的重要的财政收入来源。</w:t>
      </w:r>
    </w:p>
    <w:p w14:paraId="0ECF2833">
      <w:pPr>
        <w:pStyle w:val="8"/>
        <w:keepNext w:val="0"/>
        <w:keepLines w:val="0"/>
        <w:pageBreakBefore w:val="0"/>
        <w:widowControl w:val="0"/>
        <w:kinsoku/>
        <w:wordWrap/>
        <w:overflowPunct/>
        <w:topLinePunct w:val="0"/>
        <w:autoSpaceDE w:val="0"/>
        <w:autoSpaceDN w:val="0"/>
        <w:bidi w:val="0"/>
        <w:adjustRightInd w:val="0"/>
        <w:snapToGrid/>
        <w:spacing w:line="580" w:lineRule="exact"/>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存在的问题及原因分析</w:t>
      </w:r>
    </w:p>
    <w:p w14:paraId="004CFFEF">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1.预算编制细化不够。原因是预算执行过程中不可预测的工作较多，预算编制前瞻性不够。</w:t>
      </w:r>
    </w:p>
    <w:p w14:paraId="69EE47CA">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2.内控制度落实不够，个别项目未能</w:t>
      </w:r>
    </w:p>
    <w:p w14:paraId="4391DAA6">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严格按照年初预算按时完成。</w:t>
      </w:r>
    </w:p>
    <w:p w14:paraId="482C3F53">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3.财政资金紧张，拨款不够及时，不利于年度预算的执行。</w:t>
      </w:r>
    </w:p>
    <w:p w14:paraId="00DD6CFF">
      <w:pPr>
        <w:pStyle w:val="10"/>
        <w:spacing w:line="600" w:lineRule="exact"/>
        <w:ind w:firstLine="640" w:firstLineChars="200"/>
        <w:rPr>
          <w:rFonts w:ascii="仿宋_GB2312" w:eastAsia="仿宋_GB2312"/>
          <w:sz w:val="32"/>
          <w:szCs w:val="32"/>
        </w:rPr>
      </w:pPr>
    </w:p>
    <w:p w14:paraId="2A7879E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kNjgxMzM5NGM1NmRiODZkZTc4MDMxMGNiMTUxYzcifQ=="/>
  </w:docVars>
  <w:rsids>
    <w:rsidRoot w:val="3E812058"/>
    <w:rsid w:val="1F1560DD"/>
    <w:rsid w:val="3E812058"/>
    <w:rsid w:val="4C9F6C37"/>
    <w:rsid w:val="567C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qFormat/>
    <w:uiPriority w:val="0"/>
    <w:rPr>
      <w:b/>
      <w:bCs/>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9">
    <w:name w:val="_Style 4"/>
    <w:basedOn w:val="3"/>
    <w:next w:val="1"/>
    <w:qFormat/>
    <w:uiPriority w:val="39"/>
    <w:pPr>
      <w:spacing w:before="480" w:after="0" w:line="276" w:lineRule="auto"/>
      <w:jc w:val="center"/>
      <w:outlineLvl w:val="9"/>
    </w:pPr>
    <w:rPr>
      <w:rFonts w:ascii="仿宋" w:hAnsi="仿宋" w:eastAsia="仿宋"/>
      <w:b w:val="0"/>
      <w:color w:val="000000"/>
      <w:kern w:val="0"/>
      <w:sz w:val="32"/>
      <w:szCs w:val="32"/>
    </w:rPr>
  </w:style>
  <w:style w:type="paragraph" w:styleId="10">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1564</Words>
  <Characters>1598</Characters>
  <Lines>0</Lines>
  <Paragraphs>0</Paragraphs>
  <TotalTime>2</TotalTime>
  <ScaleCrop>false</ScaleCrop>
  <LinksUpToDate>false</LinksUpToDate>
  <CharactersWithSpaces>1598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2024-11-11T01:29:00Z</dcterms:created>
  <dc:creator>洪玲</dc:creator>
  <cp:lastModifiedBy>洪玲</cp:lastModifiedBy>
  <dcterms:modified xsi:type="dcterms:W3CDTF">2025-11-03T02:16:43Z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D426A39C5266461D8F27169B84EE38CF_13</vt:lpwstr>
  </property>
  <property fmtid="{D5CDD505-2E9C-101B-9397-08002B2CF9AE}" pid="4" name="KSOTemplateDocerSaveRecord">
    <vt:lpwstr>eyJoZGlkIjoiZjdkNjgxMzM5NGM1NmRiODZkZTc4MDMxMGNiMTUxYzciLCJ1c2VySWQiOiI1MjQ5NDc4ODIifQ==</vt:lpwstr>
  </property>
</Properties>
</file>